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            </w:t>
      </w:r>
    </w:p>
    <w:p>
      <w:pPr>
        <w:pStyle w:val="style0"/>
        <w:rPr/>
      </w:pPr>
      <w:r>
        <w:t xml:space="preserve">  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УЧЕТНАЯ КАРТОЧКА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воинского захоронения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захоронения  </w:t>
      </w:r>
      <w:r>
        <w:rPr>
          <w:sz w:val="28"/>
          <w:szCs w:val="28"/>
          <w:lang w:val="ru-RU"/>
        </w:rPr>
        <w:t xml:space="preserve">                                              РФ</w:t>
      </w:r>
      <w:r>
        <w:rPr>
          <w:sz w:val="28"/>
          <w:szCs w:val="28"/>
          <w:lang w:val="ru-RU"/>
        </w:rPr>
        <w:t xml:space="preserve"> Ростовская область</w:t>
      </w: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Неклиновский район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Слобода Советка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Проспект Победы</w:t>
      </w:r>
      <w:r>
        <w:rPr>
          <w:sz w:val="28"/>
          <w:szCs w:val="28"/>
        </w:rPr>
        <w:t>, 5а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Вид захоронения                     </w:t>
      </w:r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Братское захоронение </w:t>
      </w:r>
      <w:r>
        <w:rPr>
          <w:sz w:val="28"/>
          <w:szCs w:val="28"/>
        </w:rPr>
        <w:t xml:space="preserve"> </w:t>
      </w: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Размеры </w:t>
      </w:r>
      <w:r>
        <w:rPr>
          <w:sz w:val="28"/>
          <w:szCs w:val="28"/>
          <w:lang w:val="ru-RU"/>
        </w:rPr>
        <w:t>захоронения и его состояние             Площадь – 0,015 га</w:t>
      </w: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Состояние удовлетворительное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(</w:t>
      </w:r>
      <w:r>
        <w:rPr>
          <w:sz w:val="28"/>
          <w:szCs w:val="28"/>
        </w:rPr>
        <w:t>Бетон</w:t>
      </w:r>
      <w:r>
        <w:rPr>
          <w:sz w:val="28"/>
          <w:szCs w:val="28"/>
        </w:rPr>
        <w:t>,к</w:t>
      </w:r>
      <w:r>
        <w:rPr>
          <w:sz w:val="28"/>
          <w:szCs w:val="28"/>
        </w:rPr>
        <w:t>ирпич,гранит</w:t>
      </w:r>
      <w:r>
        <w:rPr>
          <w:sz w:val="28"/>
          <w:szCs w:val="28"/>
        </w:rPr>
        <w:t xml:space="preserve">)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Краткое описание памятника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Братская могила расположена в центре слободы Советка, </w:t>
      </w:r>
      <w:r>
        <w:rPr>
          <w:sz w:val="28"/>
          <w:szCs w:val="28"/>
          <w:lang w:val="ru-RU"/>
        </w:rPr>
        <w:t>на проспекте Победы в</w:t>
      </w:r>
      <w:r>
        <w:rPr>
          <w:sz w:val="28"/>
          <w:szCs w:val="28"/>
          <w:lang w:val="ru-RU"/>
        </w:rPr>
        <w:t xml:space="preserve">озле </w:t>
      </w:r>
      <w:r>
        <w:rPr>
          <w:sz w:val="28"/>
          <w:szCs w:val="28"/>
          <w:lang w:val="ru-RU"/>
        </w:rPr>
        <w:t>Советинской</w:t>
      </w:r>
      <w:r>
        <w:rPr>
          <w:sz w:val="28"/>
          <w:szCs w:val="28"/>
          <w:lang w:val="ru-RU"/>
        </w:rPr>
        <w:t xml:space="preserve"> средней школы.    </w:t>
      </w:r>
      <w:r>
        <w:rPr>
          <w:sz w:val="28"/>
          <w:szCs w:val="28"/>
          <w:lang w:val="ru-RU"/>
        </w:rPr>
        <w:t xml:space="preserve">Памятная доска  с табличками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павших воинов находится в скверике возе школы.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Братская могила огорожена</w:t>
      </w:r>
      <w:r>
        <w:rPr>
          <w:sz w:val="28"/>
          <w:szCs w:val="28"/>
          <w:lang w:val="ru-RU"/>
        </w:rPr>
        <w:t xml:space="preserve"> забором</w:t>
      </w:r>
      <w:r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 вокруг растут деревья.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style0"/>
        <w:ind w:left="36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</w:t>
      </w: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УЧЕТНАЯ КАРТОЧКА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воинского захоронения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захоронения  </w:t>
      </w:r>
      <w:r>
        <w:rPr>
          <w:sz w:val="28"/>
          <w:szCs w:val="28"/>
          <w:lang w:val="ru-RU"/>
        </w:rPr>
        <w:t xml:space="preserve">                                              РФ</w:t>
      </w:r>
      <w:r>
        <w:rPr>
          <w:sz w:val="28"/>
          <w:szCs w:val="28"/>
          <w:lang w:val="ru-RU"/>
        </w:rPr>
        <w:t xml:space="preserve"> Ростовская область</w:t>
      </w: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Неклиновский район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село Горская </w:t>
      </w:r>
      <w:r>
        <w:rPr>
          <w:sz w:val="28"/>
          <w:szCs w:val="28"/>
        </w:rPr>
        <w:t>Порада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ул</w:t>
      </w:r>
      <w:r>
        <w:rPr>
          <w:sz w:val="28"/>
          <w:szCs w:val="28"/>
        </w:rPr>
        <w:t>.Ц</w:t>
      </w:r>
      <w:r>
        <w:rPr>
          <w:sz w:val="28"/>
          <w:szCs w:val="28"/>
        </w:rPr>
        <w:t>ентральная</w:t>
      </w:r>
      <w:r>
        <w:rPr>
          <w:sz w:val="28"/>
          <w:szCs w:val="28"/>
        </w:rPr>
        <w:t>,22 б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Вид захоронения                                              Памятник павшим воинам ВОВ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Братское захоронение </w:t>
      </w:r>
      <w:r>
        <w:rPr>
          <w:sz w:val="28"/>
          <w:szCs w:val="28"/>
        </w:rPr>
        <w:t xml:space="preserve"> </w:t>
      </w: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захоронения и его состояние             Площадь – 0,0528 га</w:t>
      </w: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Состояние удовлетворительное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(</w:t>
      </w:r>
      <w:r>
        <w:rPr>
          <w:sz w:val="28"/>
          <w:szCs w:val="28"/>
        </w:rPr>
        <w:t>Бетон</w:t>
      </w:r>
      <w:r>
        <w:rPr>
          <w:sz w:val="28"/>
          <w:szCs w:val="28"/>
        </w:rPr>
        <w:t>,г</w:t>
      </w:r>
      <w:r>
        <w:rPr>
          <w:sz w:val="28"/>
          <w:szCs w:val="28"/>
        </w:rPr>
        <w:t>ранит</w:t>
      </w:r>
      <w:r>
        <w:rPr>
          <w:sz w:val="28"/>
          <w:szCs w:val="28"/>
        </w:rPr>
        <w:t xml:space="preserve">)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Краткое описание памятника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Памятник находится</w:t>
      </w:r>
      <w:r>
        <w:rPr>
          <w:sz w:val="28"/>
          <w:szCs w:val="28"/>
          <w:lang w:val="ru-RU"/>
        </w:rPr>
        <w:t xml:space="preserve"> в центре с</w:t>
      </w:r>
      <w:r>
        <w:rPr>
          <w:sz w:val="28"/>
          <w:szCs w:val="28"/>
          <w:lang w:val="ru-RU"/>
        </w:rPr>
        <w:t xml:space="preserve">ела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Горская </w:t>
      </w:r>
      <w:r>
        <w:rPr>
          <w:sz w:val="28"/>
          <w:szCs w:val="28"/>
          <w:lang w:val="ru-RU"/>
        </w:rPr>
        <w:t>Порада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 улице Центральной </w:t>
      </w:r>
      <w:r>
        <w:rPr>
          <w:sz w:val="28"/>
          <w:szCs w:val="28"/>
          <w:lang w:val="ru-RU"/>
        </w:rPr>
        <w:t>возле с</w:t>
      </w:r>
      <w:r>
        <w:rPr>
          <w:sz w:val="28"/>
          <w:szCs w:val="28"/>
          <w:lang w:val="ru-RU"/>
        </w:rPr>
        <w:t>ельского клуба</w:t>
      </w:r>
      <w:r>
        <w:rPr>
          <w:sz w:val="28"/>
          <w:szCs w:val="28"/>
          <w:lang w:val="ru-RU"/>
        </w:rPr>
        <w:t>.    Памят</w:t>
      </w:r>
      <w:r>
        <w:rPr>
          <w:sz w:val="28"/>
          <w:szCs w:val="28"/>
          <w:lang w:val="ru-RU"/>
        </w:rPr>
        <w:t>ник ра</w:t>
      </w:r>
      <w:r>
        <w:rPr>
          <w:sz w:val="28"/>
          <w:szCs w:val="28"/>
          <w:lang w:val="ru-RU"/>
        </w:rPr>
        <w:t>сположен на площади, выложенной плиткой</w:t>
      </w:r>
      <w:r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 на постаменте стоит солдат, преклонив голову, он поднимает автомат вверх правой рукой. Сзади солдата   стоит стена с надписью и Орденом Красной Звезды.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Вокруг площади растут  ели, деревья.</w:t>
      </w:r>
      <w:r>
        <w:rPr>
          <w:sz w:val="28"/>
          <w:szCs w:val="28"/>
          <w:lang w:val="ru-RU"/>
        </w:rPr>
        <w:t xml:space="preserve">       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style0"/>
        <w:ind w:left="36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</w:t>
      </w: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УЧЕТНАЯ КАРТОЧКА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воинского захоронения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захоронения  </w:t>
      </w:r>
      <w:r>
        <w:rPr>
          <w:sz w:val="28"/>
          <w:szCs w:val="28"/>
          <w:lang w:val="ru-RU"/>
        </w:rPr>
        <w:t xml:space="preserve">                                             </w:t>
      </w: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sz w:val="28"/>
          <w:szCs w:val="28"/>
          <w:lang w:val="ru-RU"/>
        </w:rPr>
        <w:t xml:space="preserve"> РФ</w:t>
      </w:r>
      <w:r>
        <w:rPr>
          <w:sz w:val="28"/>
          <w:szCs w:val="28"/>
          <w:lang w:val="ru-RU"/>
        </w:rPr>
        <w:t xml:space="preserve"> Ростовская область</w:t>
      </w: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Неклиновский район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Хутор Садки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Улица </w:t>
      </w:r>
      <w:r>
        <w:rPr>
          <w:sz w:val="28"/>
          <w:szCs w:val="28"/>
        </w:rPr>
        <w:t>Лободина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,19а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Вид захоронения                                                   </w:t>
      </w:r>
      <w:r>
        <w:rPr>
          <w:sz w:val="28"/>
          <w:szCs w:val="28"/>
          <w:lang w:val="ru-RU"/>
        </w:rPr>
        <w:t>Памятник павшим воинам ВОВ</w:t>
      </w:r>
      <w:r>
        <w:rPr>
          <w:sz w:val="28"/>
          <w:szCs w:val="28"/>
          <w:lang w:val="ru-RU"/>
        </w:rPr>
        <w:t xml:space="preserve"> 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sz w:val="28"/>
          <w:szCs w:val="28"/>
          <w:lang w:val="ru-RU"/>
        </w:rPr>
        <w:t xml:space="preserve">Братское захоронение </w:t>
      </w:r>
      <w:r>
        <w:rPr>
          <w:sz w:val="28"/>
          <w:szCs w:val="28"/>
        </w:rPr>
        <w:t xml:space="preserve"> </w:t>
      </w: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захоронения и его состояние             Площадь – 0,0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га</w:t>
      </w: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Состояние удовлетворительное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(</w:t>
      </w:r>
      <w:r>
        <w:rPr>
          <w:sz w:val="28"/>
          <w:szCs w:val="28"/>
        </w:rPr>
        <w:t>Бетон</w:t>
      </w:r>
      <w:r>
        <w:rPr>
          <w:sz w:val="28"/>
          <w:szCs w:val="28"/>
        </w:rPr>
        <w:t>,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еталл</w:t>
      </w:r>
      <w:r>
        <w:rPr>
          <w:sz w:val="28"/>
          <w:szCs w:val="28"/>
        </w:rPr>
        <w:t xml:space="preserve">)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Краткое описание памятника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Памятник  расположен </w:t>
      </w:r>
      <w:r>
        <w:rPr>
          <w:sz w:val="28"/>
          <w:szCs w:val="28"/>
          <w:lang w:val="ru-RU"/>
        </w:rPr>
        <w:t xml:space="preserve"> в центре </w:t>
      </w:r>
      <w:r>
        <w:rPr>
          <w:sz w:val="28"/>
          <w:szCs w:val="28"/>
          <w:lang w:val="ru-RU"/>
        </w:rPr>
        <w:t>хутора</w:t>
      </w:r>
      <w:r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адки</w:t>
      </w:r>
      <w:r>
        <w:rPr>
          <w:sz w:val="28"/>
          <w:szCs w:val="28"/>
          <w:lang w:val="ru-RU"/>
        </w:rPr>
        <w:t xml:space="preserve"> на улице </w:t>
      </w:r>
      <w:r>
        <w:rPr>
          <w:sz w:val="28"/>
          <w:szCs w:val="28"/>
          <w:lang w:val="ru-RU"/>
        </w:rPr>
        <w:t>Лободина</w:t>
      </w:r>
      <w:r>
        <w:rPr>
          <w:sz w:val="28"/>
          <w:szCs w:val="28"/>
          <w:lang w:val="ru-RU"/>
        </w:rPr>
        <w:t xml:space="preserve">.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Памятник представляет собой следующее: на постаменте стоит солдат, преклонив голову, он поднимает вверх автомат правой рукой. Памятник огорожен забором</w:t>
      </w:r>
      <w:r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озле него растут  туи</w:t>
      </w:r>
      <w:r>
        <w:rPr>
          <w:sz w:val="28"/>
          <w:szCs w:val="28"/>
          <w:lang w:val="ru-RU"/>
        </w:rPr>
        <w:t xml:space="preserve">.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style0"/>
        <w:ind w:left="36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</w:t>
      </w: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ind w:left="360"/>
        <w:rPr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УЧЕТНАЯ КАРТОЧКА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воинского захоронения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захоронения  </w:t>
      </w:r>
      <w:r>
        <w:rPr>
          <w:sz w:val="28"/>
          <w:szCs w:val="28"/>
          <w:lang w:val="ru-RU"/>
        </w:rPr>
        <w:t xml:space="preserve">                                              РФ</w:t>
      </w:r>
      <w:r>
        <w:rPr>
          <w:sz w:val="28"/>
          <w:szCs w:val="28"/>
          <w:lang w:val="ru-RU"/>
        </w:rPr>
        <w:t xml:space="preserve"> Ростовская область</w:t>
      </w: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Неклиновский район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х</w:t>
      </w:r>
      <w:r>
        <w:rPr>
          <w:sz w:val="28"/>
          <w:szCs w:val="28"/>
        </w:rPr>
        <w:t>.Л</w:t>
      </w:r>
      <w:r>
        <w:rPr>
          <w:sz w:val="28"/>
          <w:szCs w:val="28"/>
        </w:rPr>
        <w:t>юбовка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ул</w:t>
      </w:r>
      <w:r>
        <w:rPr>
          <w:sz w:val="28"/>
          <w:szCs w:val="28"/>
        </w:rPr>
        <w:t>.К</w:t>
      </w:r>
      <w:r>
        <w:rPr>
          <w:sz w:val="28"/>
          <w:szCs w:val="28"/>
        </w:rPr>
        <w:t>расносельская</w:t>
      </w:r>
      <w:r>
        <w:rPr>
          <w:sz w:val="28"/>
          <w:szCs w:val="28"/>
        </w:rPr>
        <w:t>,18 а</w:t>
      </w:r>
      <w:r>
        <w:rPr>
          <w:sz w:val="28"/>
          <w:szCs w:val="28"/>
        </w:rPr>
        <w:t xml:space="preserve">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style17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Вид захоронения                                                </w:t>
      </w:r>
      <w:r>
        <w:rPr>
          <w:sz w:val="28"/>
          <w:szCs w:val="28"/>
          <w:lang w:val="ru-RU"/>
        </w:rPr>
        <w:t>Памятник</w:t>
      </w:r>
      <w:r>
        <w:rPr>
          <w:sz w:val="28"/>
          <w:szCs w:val="28"/>
          <w:lang w:val="ru-RU"/>
        </w:rPr>
        <w:t xml:space="preserve">    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sz w:val="28"/>
          <w:szCs w:val="28"/>
          <w:lang w:val="ru-RU"/>
        </w:rPr>
        <w:t xml:space="preserve">Братское захоронение </w:t>
      </w:r>
      <w:r>
        <w:rPr>
          <w:sz w:val="28"/>
          <w:szCs w:val="28"/>
        </w:rPr>
        <w:t xml:space="preserve"> </w:t>
      </w: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захоронения и его состояние             Площадь – 0,0</w:t>
      </w:r>
      <w:r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 га</w:t>
      </w: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Состояние удовлетворительное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(</w:t>
      </w:r>
      <w:r>
        <w:rPr>
          <w:sz w:val="28"/>
          <w:szCs w:val="28"/>
        </w:rPr>
        <w:t>Бетон</w:t>
      </w:r>
      <w:r>
        <w:rPr>
          <w:sz w:val="28"/>
          <w:szCs w:val="28"/>
        </w:rPr>
        <w:t>,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еталл</w:t>
      </w:r>
      <w:r>
        <w:rPr>
          <w:sz w:val="28"/>
          <w:szCs w:val="28"/>
        </w:rPr>
        <w:t xml:space="preserve">)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Краткое описание памятника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Памятник расположен </w:t>
      </w:r>
      <w:r>
        <w:rPr>
          <w:sz w:val="28"/>
          <w:szCs w:val="28"/>
          <w:lang w:val="ru-RU"/>
        </w:rPr>
        <w:t xml:space="preserve"> в центре </w:t>
      </w:r>
      <w:r>
        <w:rPr>
          <w:sz w:val="28"/>
          <w:szCs w:val="28"/>
          <w:lang w:val="ru-RU"/>
        </w:rPr>
        <w:t xml:space="preserve">хутора </w:t>
      </w:r>
      <w:r>
        <w:rPr>
          <w:sz w:val="28"/>
          <w:szCs w:val="28"/>
          <w:lang w:val="ru-RU"/>
        </w:rPr>
        <w:t>Любовка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 улице </w:t>
      </w:r>
      <w:r>
        <w:rPr>
          <w:sz w:val="28"/>
          <w:szCs w:val="28"/>
          <w:lang w:val="ru-RU"/>
        </w:rPr>
        <w:t>Красносельской</w:t>
      </w:r>
      <w:r>
        <w:rPr>
          <w:sz w:val="28"/>
          <w:szCs w:val="28"/>
          <w:lang w:val="ru-RU"/>
        </w:rPr>
        <w:t xml:space="preserve"> возле </w:t>
      </w:r>
      <w:r>
        <w:rPr>
          <w:sz w:val="28"/>
          <w:szCs w:val="28"/>
          <w:lang w:val="ru-RU"/>
        </w:rPr>
        <w:t xml:space="preserve"> автодороги  Советка </w:t>
      </w:r>
      <w:r>
        <w:rPr>
          <w:sz w:val="28"/>
          <w:szCs w:val="28"/>
          <w:lang w:val="ru-RU"/>
        </w:rPr>
        <w:t>-П</w:t>
      </w:r>
      <w:r>
        <w:rPr>
          <w:sz w:val="28"/>
          <w:szCs w:val="28"/>
          <w:lang w:val="ru-RU"/>
        </w:rPr>
        <w:t>окровское</w:t>
      </w:r>
      <w:r>
        <w:rPr>
          <w:sz w:val="28"/>
          <w:szCs w:val="28"/>
          <w:lang w:val="ru-RU"/>
        </w:rPr>
        <w:t xml:space="preserve">.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Памятн</w:t>
      </w:r>
      <w:r>
        <w:rPr>
          <w:sz w:val="28"/>
          <w:szCs w:val="28"/>
          <w:lang w:val="ru-RU"/>
        </w:rPr>
        <w:t>ик представляет собой следующее: на постаменте стоит солдат</w:t>
      </w:r>
      <w:r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 преклонив голову , он поднимает вверх держащий в правой  руке автомат,</w:t>
      </w:r>
      <w:r>
        <w:rPr>
          <w:sz w:val="28"/>
          <w:szCs w:val="28"/>
          <w:lang w:val="ru-RU"/>
        </w:rPr>
        <w:t xml:space="preserve"> вокруг </w:t>
      </w:r>
      <w:r>
        <w:rPr>
          <w:sz w:val="28"/>
          <w:szCs w:val="28"/>
          <w:lang w:val="ru-RU"/>
        </w:rPr>
        <w:t xml:space="preserve">памятника растут </w:t>
      </w:r>
      <w:r>
        <w:rPr>
          <w:sz w:val="28"/>
          <w:szCs w:val="28"/>
          <w:lang w:val="ru-RU"/>
        </w:rPr>
        <w:t xml:space="preserve"> деревья</w:t>
      </w:r>
      <w:r>
        <w:rPr>
          <w:sz w:val="28"/>
          <w:szCs w:val="28"/>
          <w:lang w:val="ru-RU"/>
        </w:rPr>
        <w:t>, огорожен забором.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style0"/>
        <w:ind w:left="36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УЧЕТНАЯ КАРТОЧКА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воинского захоронения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захоронения  </w:t>
      </w:r>
      <w:r>
        <w:rPr>
          <w:sz w:val="28"/>
          <w:szCs w:val="28"/>
          <w:lang w:val="ru-RU"/>
        </w:rPr>
        <w:t xml:space="preserve">                                              РФ</w:t>
      </w:r>
      <w:r>
        <w:rPr>
          <w:sz w:val="28"/>
          <w:szCs w:val="28"/>
          <w:lang w:val="ru-RU"/>
        </w:rPr>
        <w:t xml:space="preserve"> Ростовская область</w:t>
      </w: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Неклиновский район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овостроенка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>,23 а</w:t>
      </w:r>
      <w:r>
        <w:rPr>
          <w:sz w:val="28"/>
          <w:szCs w:val="28"/>
        </w:rPr>
        <w:t xml:space="preserve">              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Вид захоронения                                                    Братское захоронение </w:t>
      </w:r>
      <w:r>
        <w:rPr>
          <w:sz w:val="28"/>
          <w:szCs w:val="28"/>
          <w:lang w:val="ru-RU"/>
        </w:rPr>
        <w:t xml:space="preserve"> </w:t>
      </w: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rPr>
          <w:sz w:val="28"/>
          <w:szCs w:val="28"/>
          <w:lang w:val="ru-RU"/>
        </w:rPr>
      </w:pPr>
    </w:p>
    <w:p>
      <w:pPr>
        <w:pStyle w:val="style179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захоронения и его состояние             Площадь – 0,</w:t>
      </w:r>
      <w:r>
        <w:rPr>
          <w:sz w:val="28"/>
          <w:szCs w:val="28"/>
          <w:lang w:val="ru-RU"/>
        </w:rPr>
        <w:t>02 га</w:t>
      </w: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Состояние удовлетворительное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(</w:t>
      </w:r>
      <w:r>
        <w:rPr>
          <w:sz w:val="28"/>
          <w:szCs w:val="28"/>
        </w:rPr>
        <w:t>Бетон</w:t>
      </w:r>
      <w:r>
        <w:rPr>
          <w:sz w:val="28"/>
          <w:szCs w:val="28"/>
        </w:rPr>
        <w:t>,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ранит</w:t>
      </w:r>
      <w:r>
        <w:rPr>
          <w:sz w:val="28"/>
          <w:szCs w:val="28"/>
        </w:rPr>
        <w:t xml:space="preserve">)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Краткое описание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                </w:t>
      </w: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Братская могила расположена в центре с</w:t>
      </w:r>
      <w:r>
        <w:rPr>
          <w:sz w:val="28"/>
          <w:szCs w:val="28"/>
          <w:lang w:val="ru-RU"/>
        </w:rPr>
        <w:t xml:space="preserve">ела </w:t>
      </w:r>
      <w:r>
        <w:rPr>
          <w:sz w:val="28"/>
          <w:szCs w:val="28"/>
          <w:lang w:val="ru-RU"/>
        </w:rPr>
        <w:t>Новостроенка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 улице Ленина возле сельского </w:t>
      </w:r>
      <w:r>
        <w:rPr>
          <w:sz w:val="28"/>
          <w:szCs w:val="28"/>
          <w:lang w:val="ru-RU"/>
        </w:rPr>
        <w:t>ФАП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   Памятн</w:t>
      </w:r>
      <w:r>
        <w:rPr>
          <w:sz w:val="28"/>
          <w:szCs w:val="28"/>
          <w:lang w:val="ru-RU"/>
        </w:rPr>
        <w:t xml:space="preserve">ик </w:t>
      </w:r>
      <w:r>
        <w:rPr>
          <w:sz w:val="28"/>
          <w:szCs w:val="28"/>
          <w:lang w:val="ru-RU"/>
        </w:rPr>
        <w:t xml:space="preserve">  с табличками  павших воинов</w:t>
      </w:r>
      <w:r>
        <w:rPr>
          <w:sz w:val="28"/>
          <w:szCs w:val="28"/>
          <w:lang w:val="ru-RU"/>
        </w:rPr>
        <w:t xml:space="preserve"> и рядом находящиеся воинские захоронения огорожены заборчиком, на территории памятника растут цветущие кустарники, деревья.</w:t>
      </w:r>
    </w:p>
    <w:p>
      <w:pPr>
        <w:pStyle w:val="style0"/>
        <w:ind w:left="36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sz w:val="28"/>
          <w:szCs w:val="28"/>
          <w:lang w:val="ru-RU"/>
        </w:rPr>
      </w:pPr>
    </w:p>
    <w:p>
      <w:pPr>
        <w:pStyle w:val="style1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</w:p>
    <w:p>
      <w:pPr>
        <w:jc w:val="both"/>
        <w:rPr>
          <w:sz w:val="28"/>
          <w:szCs w:val="28"/>
          <w:lang w:val="ru-RU"/>
        </w:rPr>
      </w:pPr>
    </w:p>
    <w:p>
      <w:pPr>
        <w:pStyle w:val="style17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style0"/>
        <w:ind w:left="360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  <w:sectPr>
          <w:pgSz w:w="11909" w:h="16834" w:orient="portrait" w:code="9"/>
          <w:pgMar w:top="851" w:right="851" w:bottom="851" w:left="851" w:header="720" w:footer="720" w:gutter="0"/>
          <w:cols w:space="708"/>
          <w:noEndnote/>
        </w:sect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2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2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3A4DE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D7C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2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E2C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ru-RU" w:bidi="ar-SA" w:eastAsia="ru-RU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widowControl/>
      <w:autoSpaceDE/>
      <w:autoSpaceDN/>
      <w:adjustRightInd/>
      <w:spacing w:before="480" w:lineRule="auto" w:line="276"/>
      <w:outlineLvl w:val="0"/>
    </w:pPr>
    <w:rPr>
      <w:rFonts w:ascii="Cambria" w:cs="宋体" w:eastAsia="宋体" w:hAnsi="Cambria"/>
      <w:b/>
      <w:bCs/>
      <w:color w:val="365f91"/>
      <w:sz w:val="28"/>
      <w:szCs w:val="28"/>
      <w:lang w:val="en-US" w:bidi="en-US" w:eastAsia="en-US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1"/>
    </w:pPr>
    <w:rPr>
      <w:rFonts w:ascii="Cambria" w:cs="宋体" w:eastAsia="宋体" w:hAnsi="Cambria"/>
      <w:b/>
      <w:bCs/>
      <w:color w:val="4f81bd"/>
      <w:sz w:val="26"/>
      <w:szCs w:val="26"/>
      <w:lang w:val="en-US" w:bidi="en-US" w:eastAsia="en-US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2"/>
    </w:pPr>
    <w:rPr>
      <w:rFonts w:ascii="Cambria" w:cs="宋体" w:eastAsia="宋体" w:hAnsi="Cambria"/>
      <w:b/>
      <w:bCs/>
      <w:color w:val="4f81bd"/>
      <w:sz w:val="22"/>
      <w:szCs w:val="22"/>
      <w:lang w:val="en-US" w:bidi="en-US" w:eastAsia="en-US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3"/>
    </w:pPr>
    <w:rPr>
      <w:rFonts w:ascii="Cambria" w:cs="宋体" w:eastAsia="宋体" w:hAnsi="Cambria"/>
      <w:b/>
      <w:bCs/>
      <w:i/>
      <w:iCs/>
      <w:color w:val="4f81bd"/>
      <w:sz w:val="22"/>
      <w:szCs w:val="22"/>
      <w:lang w:val="en-US" w:bidi="en-US" w:eastAsia="en-US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4"/>
    </w:pPr>
    <w:rPr>
      <w:rFonts w:ascii="Cambria" w:cs="宋体" w:eastAsia="宋体" w:hAnsi="Cambria"/>
      <w:color w:val="243f60"/>
      <w:sz w:val="22"/>
      <w:szCs w:val="22"/>
      <w:lang w:val="en-US" w:bidi="en-US" w:eastAsia="en-US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5"/>
    </w:pPr>
    <w:rPr>
      <w:rFonts w:ascii="Cambria" w:cs="宋体" w:eastAsia="宋体" w:hAnsi="Cambria"/>
      <w:i/>
      <w:iCs/>
      <w:color w:val="243f60"/>
      <w:sz w:val="22"/>
      <w:szCs w:val="22"/>
      <w:lang w:val="en-US" w:bidi="en-US" w:eastAsia="en-US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6"/>
    </w:pPr>
    <w:rPr>
      <w:rFonts w:ascii="Cambria" w:cs="宋体" w:eastAsia="宋体" w:hAnsi="Cambria"/>
      <w:i/>
      <w:iCs/>
      <w:color w:val="404040"/>
      <w:sz w:val="22"/>
      <w:szCs w:val="22"/>
      <w:lang w:val="en-US" w:bidi="en-US" w:eastAsia="en-US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7"/>
    </w:pPr>
    <w:rPr>
      <w:rFonts w:ascii="Cambria" w:cs="宋体" w:eastAsia="宋体" w:hAnsi="Cambria"/>
      <w:color w:val="4f81bd"/>
      <w:lang w:val="en-US" w:bidi="en-US" w:eastAsia="en-US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widowControl/>
      <w:autoSpaceDE/>
      <w:autoSpaceDN/>
      <w:adjustRightInd/>
      <w:spacing w:before="200" w:lineRule="auto" w:line="276"/>
      <w:outlineLvl w:val="8"/>
    </w:pPr>
    <w:rPr>
      <w:rFonts w:ascii="Cambria" w:cs="宋体" w:eastAsia="宋体" w:hAnsi="Cambria"/>
      <w:i/>
      <w:iCs/>
      <w:color w:val="404040"/>
      <w:lang w:val="en-US" w:bidi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ascii="Cambria" w:cs="宋体" w:eastAsia="宋体" w:hAnsi="Cambria"/>
      <w:color w:val="4f81bd"/>
      <w:sz w:val="20"/>
      <w:szCs w:val="20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widowControl/>
      <w:autoSpaceDE/>
      <w:autoSpaceDN/>
      <w:adjustRightInd/>
      <w:spacing w:after="200"/>
    </w:pPr>
    <w:rPr>
      <w:rFonts w:ascii="Calibri" w:cs="宋体" w:eastAsia="Calibri" w:hAnsi="Calibri"/>
      <w:b/>
      <w:bCs/>
      <w:color w:val="4f81bd"/>
      <w:sz w:val="18"/>
      <w:szCs w:val="18"/>
      <w:lang w:val="en-US" w:bidi="en-US" w:eastAsia="en-US"/>
    </w:rPr>
  </w:style>
  <w:style w:type="paragraph" w:styleId="style62">
    <w:name w:val="Title"/>
    <w:basedOn w:val="style0"/>
    <w:next w:val="style0"/>
    <w:link w:val="style4106"/>
    <w:qFormat/>
    <w:uiPriority w:val="10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  <w:lang w:val="en-US" w:bidi="en-US" w:eastAsia="en-US"/>
    </w:rPr>
  </w:style>
  <w:style w:type="character" w:customStyle="1" w:styleId="style4106">
    <w:name w:val="Название Знак"/>
    <w:basedOn w:val="style65"/>
    <w:next w:val="style4106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widowControl/>
      <w:numPr>
        <w:ilvl w:val="1"/>
        <w:numId w:val="0"/>
      </w:numPr>
      <w:autoSpaceDE/>
      <w:autoSpaceDN/>
      <w:adjustRightInd/>
      <w:spacing w:after="200" w:lineRule="auto" w:line="276"/>
    </w:pPr>
    <w:rPr>
      <w:rFonts w:ascii="Cambria" w:cs="宋体" w:eastAsia="宋体" w:hAnsi="Cambria"/>
      <w:i/>
      <w:iCs/>
      <w:color w:val="4f81bd"/>
      <w:spacing w:val="15"/>
      <w:sz w:val="24"/>
      <w:szCs w:val="24"/>
      <w:lang w:val="en-US" w:bidi="en-US" w:eastAsia="en-US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widowControl/>
      <w:autoSpaceDE/>
      <w:autoSpaceDN/>
      <w:adjustRightInd/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  <w:lang w:val="en-US" w:bidi="en-US" w:eastAsia="en-US"/>
    </w:rPr>
  </w:style>
  <w:style w:type="paragraph" w:styleId="style180">
    <w:name w:val="Quote"/>
    <w:basedOn w:val="style0"/>
    <w:next w:val="style0"/>
    <w:link w:val="style4108"/>
    <w:qFormat/>
    <w:uiPriority w:val="29"/>
    <w:pPr>
      <w:widowControl/>
      <w:autoSpaceDE/>
      <w:autoSpaceDN/>
      <w:adjustRightInd/>
      <w:spacing w:after="200" w:lineRule="auto" w:line="276"/>
    </w:pPr>
    <w:rPr>
      <w:rFonts w:ascii="Calibri" w:cs="宋体" w:eastAsia="Calibri" w:hAnsi="Calibri"/>
      <w:i/>
      <w:iCs/>
      <w:color w:val="000000"/>
      <w:sz w:val="22"/>
      <w:szCs w:val="22"/>
      <w:lang w:val="en-US" w:bidi="en-US" w:eastAsia="en-US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widowControl/>
      <w:pBdr>
        <w:bottom w:val="single" w:sz="4" w:space="4" w:color="4f81bd"/>
      </w:pBdr>
      <w:autoSpaceDE/>
      <w:autoSpaceDN/>
      <w:adjustRightInd/>
      <w:spacing w:before="200" w:after="280" w:lineRule="auto" w:line="276"/>
      <w:ind w:left="936" w:right="936"/>
    </w:pPr>
    <w:rPr>
      <w:rFonts w:ascii="Calibri" w:cs="宋体" w:eastAsia="Calibri" w:hAnsi="Calibri"/>
      <w:b/>
      <w:bCs/>
      <w:i/>
      <w:iCs/>
      <w:color w:val="4f81bd"/>
      <w:sz w:val="22"/>
      <w:szCs w:val="22"/>
      <w:lang w:val="en-US" w:bidi="en-US" w:eastAsia="en-US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rFonts w:ascii="Times New Roman" w:cs="Times New Roman" w:hAnsi="Times New Roman" w:hint="default"/>
      <w:color w:val="0000ff"/>
      <w:u w:val="single"/>
    </w:rPr>
  </w:style>
  <w:style w:type="paragraph" w:styleId="style31">
    <w:name w:val="header"/>
    <w:basedOn w:val="style0"/>
    <w:next w:val="style31"/>
    <w:link w:val="style4110"/>
    <w:uiPriority w:val="99"/>
    <w:pPr>
      <w:widowControl/>
      <w:tabs>
        <w:tab w:val="center" w:leader="none" w:pos="4536"/>
        <w:tab w:val="right" w:leader="none" w:pos="9072"/>
      </w:tabs>
      <w:adjustRightInd/>
    </w:pPr>
    <w:rPr>
      <w:sz w:val="28"/>
      <w:szCs w:val="28"/>
    </w:rPr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  <w:rPr>
      <w:rFonts w:ascii="Times New Roman" w:cs="Times New Roman" w:eastAsia="Times New Roman" w:hAnsi="Times New Roman"/>
      <w:sz w:val="28"/>
      <w:szCs w:val="28"/>
      <w:lang w:val="ru-RU" w:bidi="ar-S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767D-21BD-4836-8CF7-D0770CDB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Words>359</Words>
  <Pages>7</Pages>
  <Characters>2534</Characters>
  <Application>WPS Office</Application>
  <DocSecurity>0</DocSecurity>
  <Paragraphs>253</Paragraphs>
  <ScaleCrop>false</ScaleCrop>
  <Company>Microsoft</Company>
  <LinksUpToDate>false</LinksUpToDate>
  <CharactersWithSpaces>7639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2010-01-19T11:32:00Z</dcterms:created>
  <dc:creator>Пользователь</dc:creator>
  <lastModifiedBy>TECNO BG6</lastModifiedBy>
  <lastPrinted>2011-08-17T04:53:00Z</lastPrinted>
  <dcterms:modified xsi:type="dcterms:W3CDTF">2025-03-28T10:19:44Z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334c64767aaf469694f35c4e68bc8d9a</vt:lpwstr>
  </property>
</Properties>
</file>